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significant health and safety concern in the workplace, as it can negatively impact the abilities and judgement of employees. We also acknowledge that substance abuse and dependency are medical issues that some employees may struggle with. [Organization Name] is therefore committed to:</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on the premises;</w:t>
      </w:r>
    </w:p>
    <w:p w:rsidR="00000000" w:rsidDel="00000000" w:rsidP="00000000" w:rsidRDefault="00000000" w:rsidRPr="00000000" w14:paraId="0000000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employees with dependency issues.</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b w:val="1"/>
          <w:rtl w:val="0"/>
        </w:rPr>
        <w:t xml:space="preserve">Impairment (as per the Workers’ Safety &amp; Compensation Commission):</w:t>
      </w:r>
      <w:r w:rsidDel="00000000" w:rsidR="00000000" w:rsidRPr="00000000">
        <w:rPr>
          <w:rFonts w:ascii="Calibri" w:cs="Calibri" w:eastAsia="Calibri" w:hAnsi="Calibri"/>
          <w:rtl w:val="0"/>
        </w:rPr>
        <w:t xml:space="preserve"> (also known as unfit for duty/work) at any worksite can have severe consequences for not only the impaired worker, but also their co-workers, supervisor, and employer. Impairment can come from fatigue, stress, illness, or the use of alcohol, illicit drugs, prescribed and over-the-counter medication.</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rtl w:val="0"/>
        </w:rPr>
        <w:t xml:space="preserve">To ensure the safety of our organization, employees, clients, and the public, [Organization Name] strictly prohibits the use of any substances that can cause impairment, including drugs or alcohol, whether legal or illegal, while in the workplace or while representing [Organization Name]. Exceptions to this policy may be made if authorized in writing by management for medical reasons or under special circumstances such as a company event.</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prohibited from working while impaired, regardless of whether they are on-site, off-site, or working from home. If an employee is unfit to report to work for any reason, they should notify their supervisor following the regular process. Safety is our top priority at [Organization Name].</w:t>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Failure to comply with this policy may result in disciplinary action, up to and including termination of employment, or involvement of the authorities, if necessary.</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or impaired is strictly prohibited.</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of their current state of impairment, the supervisor or manager must take immediate action. This may include arranging for the employee to be transported home in a taxicab or other commercial vehicle, and pursuing disciplinary action at a later date when the employee is no longer impaired.</w:t>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Certain work situations, such as work parties or events, may allow for the consumption of legal substances if the event takes place in accordance with the laws of Nunavut. This includes compliance with the Cannabis Act and other relevant legislation. However, exceptions to company policy will be communicated by management, and employees will be expected to exercise appropriate judgement and consume substances responsibly in these situations.</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accommodations to employees who come forward with addiction issues or who require cannabis for a medical purpose related to a disability.</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without fear of negative consequences. All employee medical information will be treated as confidential.</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Medical Use of Cannabis</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smoking or vaping of cannabis and tobacco is prohibited for public health reasons.</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a medical need to smoke or vape cannabis, [Organization Name] will allow an employee who smokes cannabis for a medical purpose to do so outside in areas where smoking is permitted by law.</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Responsibilities</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expected to:</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 the procedures outlined in this policy.</w:t>
      </w:r>
    </w:p>
    <w:p w:rsidR="00000000" w:rsidDel="00000000" w:rsidP="00000000" w:rsidRDefault="00000000" w:rsidRPr="00000000" w14:paraId="0000003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supervisor/manager if they are under medical care and require the use of a prescription drug that may impair their abilities. Employees are not required to share their diagnosis or prognosis; the information regarding their medication is solely precautionary.</w:t>
      </w:r>
    </w:p>
    <w:p w:rsidR="00000000" w:rsidDel="00000000" w:rsidP="00000000" w:rsidRDefault="00000000" w:rsidRPr="00000000" w14:paraId="0000003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Notify their supervisor/manager if they arrive at work impaired.</w:t>
      </w:r>
    </w:p>
    <w:p w:rsidR="00000000" w:rsidDel="00000000" w:rsidP="00000000" w:rsidRDefault="00000000" w:rsidRPr="00000000" w14:paraId="0000003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 any suspected impairment of another employee to their supervisor/manager to ensure the health and safety of all individuals attending the workplace, in accordance with the laws of Nunavut, Canada.</w:t>
      </w:r>
    </w:p>
    <w:p w:rsidR="00000000" w:rsidDel="00000000" w:rsidP="00000000" w:rsidRDefault="00000000" w:rsidRPr="00000000" w14:paraId="00000036">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Supervisor/Manager Responsibilities</w:t>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Supervisors and managers are responsible for:</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Having timely conversations with employees who show signs of impairment and/or substance use dependency, using a reasonable suspicion of impairment checklist.</w:t>
      </w:r>
    </w:p>
    <w:p w:rsidR="00000000" w:rsidDel="00000000" w:rsidP="00000000" w:rsidRDefault="00000000" w:rsidRPr="00000000" w14:paraId="0000003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action when an employee reports impairment or when signs of impairment are observed.</w:t>
      </w:r>
    </w:p>
    <w:p w:rsidR="00000000" w:rsidDel="00000000" w:rsidP="00000000" w:rsidRDefault="00000000" w:rsidRPr="00000000" w14:paraId="0000003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if an employee attempts to drive while under the influence of a legal or illegal substance.</w:t>
      </w:r>
    </w:p>
    <w:p w:rsidR="00000000" w:rsidDel="00000000" w:rsidP="00000000" w:rsidRDefault="00000000" w:rsidRPr="00000000" w14:paraId="0000004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accommodations to employees who require them.</w:t>
      </w:r>
    </w:p>
    <w:p w:rsidR="00000000" w:rsidDel="00000000" w:rsidP="00000000" w:rsidRDefault="00000000" w:rsidRPr="00000000" w14:paraId="0000004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understand what they are and are not allowed to do.</w:t>
      </w:r>
    </w:p>
    <w:p w:rsidR="00000000" w:rsidDel="00000000" w:rsidP="00000000" w:rsidRDefault="00000000" w:rsidRPr="00000000" w14:paraId="00000042">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A">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B">
      <w:pPr>
        <w:ind w:left="1800" w:hanging="360"/>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However, if the employee is impaired, &lt;Organization Name&gt; will not condone them using their own vehicle and will make arrangements for alternate transportation such as  a taxi or an uber</w:t>
      </w:r>
    </w:p>
    <w:p w:rsidR="00000000" w:rsidDel="00000000" w:rsidP="00000000" w:rsidRDefault="00000000" w:rsidRPr="00000000" w14:paraId="0000004C">
      <w:pPr>
        <w:ind w:left="252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D">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E">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F">
      <w:pPr>
        <w:rPr>
          <w:rFonts w:ascii="Calibri" w:cs="Calibri" w:eastAsia="Calibri" w:hAnsi="Calibri"/>
          <w:color w:val="2f3941"/>
        </w:rPr>
      </w:pPr>
      <w:r w:rsidDel="00000000" w:rsidR="00000000" w:rsidRPr="00000000">
        <w:rPr>
          <w:rFonts w:ascii="Calibri" w:cs="Calibri" w:eastAsia="Calibri" w:hAnsi="Calibri"/>
          <w:color w:val="2f3941"/>
          <w:rtl w:val="0"/>
        </w:rPr>
        <w:t xml:space="preserve"> </w:t>
      </w:r>
    </w:p>
    <w:p w:rsidR="00000000" w:rsidDel="00000000" w:rsidP="00000000" w:rsidRDefault="00000000" w:rsidRPr="00000000" w14:paraId="00000050">
      <w:pPr>
        <w:rPr>
          <w:rFonts w:ascii="Calibri" w:cs="Calibri" w:eastAsia="Calibri" w:hAnsi="Calibri"/>
          <w:sz w:val="36"/>
          <w:szCs w:val="36"/>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r w:rsidDel="00000000" w:rsidR="00000000" w:rsidRPr="00000000">
        <w:rPr>
          <w:rtl w:val="0"/>
        </w:rPr>
      </w:r>
    </w:p>
    <w:p w:rsidR="00000000" w:rsidDel="00000000" w:rsidP="00000000" w:rsidRDefault="00000000" w:rsidRPr="00000000" w14:paraId="0000005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2">
      <w:pPr>
        <w:pStyle w:val="Heading2"/>
        <w:rPr>
          <w:rFonts w:ascii="Calibri" w:cs="Calibri" w:eastAsia="Calibri" w:hAnsi="Calibri"/>
          <w:sz w:val="22"/>
          <w:szCs w:val="22"/>
        </w:rPr>
      </w:pPr>
      <w:bookmarkStart w:colFirst="0" w:colLast="0" w:name="_heading=h.pwd8qp58e3gl" w:id="0"/>
      <w:bookmarkEnd w:id="0"/>
      <w:r w:rsidDel="00000000" w:rsidR="00000000" w:rsidRPr="00000000">
        <w:rPr>
          <w:rFonts w:ascii="Calibri" w:cs="Calibri" w:eastAsia="Calibri" w:hAnsi="Calibri"/>
          <w:rtl w:val="0"/>
        </w:rPr>
        <w:t xml:space="preserve">REASONABLE SUSPICION CHECKLIST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C">
      <w:pPr>
        <w:shd w:fill="ffffff" w:val="clear"/>
        <w:rPr>
          <w:rFonts w:ascii="Calibri" w:cs="Calibri" w:eastAsia="Calibri" w:hAnsi="Calibri"/>
        </w:rPr>
      </w:pPr>
      <w:r w:rsidDel="00000000" w:rsidR="00000000" w:rsidRPr="00000000">
        <w:rPr>
          <w:rtl w:val="0"/>
        </w:rPr>
      </w:r>
    </w:p>
    <w:tbl>
      <w:tblPr>
        <w:tblStyle w:val="Table2"/>
        <w:tblW w:w="9465.0" w:type="dxa"/>
        <w:jc w:val="left"/>
        <w:tblInd w:w="-212.0" w:type="dxa"/>
        <w:tblLayout w:type="fixed"/>
        <w:tblLook w:val="0400"/>
      </w:tblPr>
      <w:tblGrid>
        <w:gridCol w:w="2580"/>
        <w:gridCol w:w="585"/>
        <w:gridCol w:w="540"/>
        <w:gridCol w:w="1605"/>
        <w:gridCol w:w="645"/>
        <w:gridCol w:w="585"/>
        <w:gridCol w:w="1530"/>
        <w:gridCol w:w="720"/>
        <w:gridCol w:w="675"/>
        <w:tblGridChange w:id="0">
          <w:tblGrid>
            <w:gridCol w:w="2580"/>
            <w:gridCol w:w="585"/>
            <w:gridCol w:w="540"/>
            <w:gridCol w:w="1605"/>
            <w:gridCol w:w="645"/>
            <w:gridCol w:w="585"/>
            <w:gridCol w:w="1530"/>
            <w:gridCol w:w="720"/>
            <w:gridCol w:w="67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E">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C">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0">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B">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C">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D">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E">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F">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0">
            <w:pPr>
              <w:spacing w:after="160" w:lineRule="auto"/>
              <w:rPr>
                <w:rFonts w:ascii="Calibri" w:cs="Calibri" w:eastAsia="Calibri" w:hAnsi="Calibri"/>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F">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6">
      <w:pPr>
        <w:ind w:right="453"/>
        <w:rPr>
          <w:rFonts w:ascii="Calibri" w:cs="Calibri" w:eastAsia="Calibri" w:hAnsi="Calibri"/>
        </w:rPr>
      </w:pPr>
      <w:r w:rsidDel="00000000" w:rsidR="00000000" w:rsidRPr="00000000">
        <w:rPr>
          <w:rtl w:val="0"/>
        </w:rPr>
      </w:r>
    </w:p>
    <w:tbl>
      <w:tblPr>
        <w:tblStyle w:val="Table3"/>
        <w:tblW w:w="9510.0" w:type="dxa"/>
        <w:jc w:val="left"/>
        <w:tblInd w:w="-212.0" w:type="dxa"/>
        <w:tblLayout w:type="fixed"/>
        <w:tblLook w:val="0400"/>
      </w:tblPr>
      <w:tblGrid>
        <w:gridCol w:w="2250"/>
        <w:gridCol w:w="585"/>
        <w:gridCol w:w="270"/>
        <w:gridCol w:w="570"/>
        <w:gridCol w:w="1740"/>
        <w:gridCol w:w="525"/>
        <w:gridCol w:w="480"/>
        <w:gridCol w:w="1995"/>
        <w:gridCol w:w="585"/>
        <w:gridCol w:w="510"/>
        <w:tblGridChange w:id="0">
          <w:tblGrid>
            <w:gridCol w:w="2250"/>
            <w:gridCol w:w="585"/>
            <w:gridCol w:w="270"/>
            <w:gridCol w:w="570"/>
            <w:gridCol w:w="1740"/>
            <w:gridCol w:w="525"/>
            <w:gridCol w:w="480"/>
            <w:gridCol w:w="1995"/>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7">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6">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9">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A">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F">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5">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A">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5">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9">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D">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F">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3">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9">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B">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3">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4">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5">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6">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C">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D">
      <w:pPr>
        <w:rPr>
          <w:rFonts w:ascii="Calibri" w:cs="Calibri" w:eastAsia="Calibri" w:hAnsi="Calibri"/>
        </w:rPr>
      </w:pPr>
      <w:r w:rsidDel="00000000" w:rsidR="00000000" w:rsidRPr="00000000">
        <w:rPr>
          <w:rtl w:val="0"/>
        </w:rPr>
      </w:r>
    </w:p>
    <w:p w:rsidR="00000000" w:rsidDel="00000000" w:rsidP="00000000" w:rsidRDefault="00000000" w:rsidRPr="00000000" w14:paraId="000002AE">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F">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1">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4.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7">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C">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4">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5">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6">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7">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Substance Abuse Policy. </w:t>
      </w:r>
    </w:p>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9">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A">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D">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5">
      <w:pPr>
        <w:pStyle w:val="Heading2"/>
        <w:rPr>
          <w:rFonts w:ascii="Calibri" w:cs="Calibri" w:eastAsia="Calibri" w:hAnsi="Calibri"/>
        </w:rPr>
      </w:pPr>
      <w:bookmarkStart w:colFirst="0" w:colLast="0" w:name="_heading=h.97zzi7bgdpav" w:id="1"/>
      <w:bookmarkEnd w:id="1"/>
      <w:r w:rsidDel="00000000" w:rsidR="00000000" w:rsidRPr="00000000">
        <w:rPr>
          <w:rtl w:val="0"/>
        </w:rPr>
      </w:r>
    </w:p>
    <w:p w:rsidR="00000000" w:rsidDel="00000000" w:rsidP="00000000" w:rsidRDefault="00000000" w:rsidRPr="00000000" w14:paraId="000002D6">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IhbTSy7p7+BKG2jmqH9sBZyow==">CgMxLjAyDmgucHdkOHFwNThlM2dsMg5oLjk3enppN2JnZHBhdjgAciExelpESjd2MVpGQ1kyXzlrUWRTWnd0bzNldDZkb3Rrc28=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